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157480</wp:posOffset>
            </wp:positionH>
            <wp:positionV relativeFrom="page">
              <wp:posOffset>226060</wp:posOffset>
            </wp:positionV>
            <wp:extent cx="72466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page">
              <wp:posOffset>157480</wp:posOffset>
            </wp:positionH>
            <wp:positionV relativeFrom="page">
              <wp:posOffset>260350</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t>UNITED STATES</w:t>
      </w:r>
    </w:p>
    <w:p>
      <w:pPr>
        <w:spacing w:after="0" w:line="27"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SECURITIES AND EXCHANGE COMMISSION</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Washington, D.C. 20549</w:t>
      </w:r>
    </w:p>
    <w:p>
      <w:pPr>
        <w:spacing w:after="0" w:line="207" w:lineRule="exact"/>
        <w:rPr>
          <w:sz w:val="24"/>
          <w:szCs w:val="24"/>
          <w:color w:val="auto"/>
        </w:rPr>
      </w:pPr>
    </w:p>
    <w:p>
      <w:pPr>
        <w:jc w:val="center"/>
        <w:ind w:right="-1200"/>
        <w:spacing w:after="0"/>
        <w:rPr>
          <w:sz w:val="20"/>
          <w:szCs w:val="20"/>
          <w:color w:val="auto"/>
        </w:rPr>
      </w:pPr>
      <w:r>
        <w:rPr>
          <w:rFonts w:ascii="Arial" w:cs="Arial" w:eastAsia="Arial" w:hAnsi="Arial"/>
          <w:sz w:val="18"/>
          <w:szCs w:val="18"/>
          <w:b w:val="1"/>
          <w:bCs w:val="1"/>
          <w:color w:val="auto"/>
        </w:rPr>
        <w:t>FORM 6-K</w:t>
      </w:r>
    </w:p>
    <w:p>
      <w:pPr>
        <w:spacing w:after="0" w:line="22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ind w:left="4500"/>
        <w:spacing w:after="0"/>
        <w:rPr>
          <w:sz w:val="20"/>
          <w:szCs w:val="20"/>
          <w:color w:val="auto"/>
        </w:rPr>
      </w:pPr>
      <w:r>
        <w:rPr>
          <w:rFonts w:ascii="Arial" w:cs="Arial" w:eastAsia="Arial" w:hAnsi="Arial"/>
          <w:sz w:val="18"/>
          <w:szCs w:val="18"/>
          <w:color w:val="auto"/>
        </w:rPr>
        <w:t>For the month of December, 2017</w:t>
      </w:r>
    </w:p>
    <w:p>
      <w:pPr>
        <w:spacing w:after="0" w:line="225"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Commission File Number 1-11414</w:t>
      </w:r>
    </w:p>
    <w:p>
      <w:pPr>
        <w:spacing w:after="0" w:line="217"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(Exact name of Registrant as specified in its Charter)</w:t>
      </w:r>
    </w:p>
    <w:p>
      <w:pPr>
        <w:spacing w:after="0" w:line="201"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3" w:lineRule="exact"/>
        <w:rPr>
          <w:sz w:val="24"/>
          <w:szCs w:val="24"/>
          <w:color w:val="auto"/>
        </w:rPr>
      </w:pPr>
    </w:p>
    <w:p>
      <w:pPr>
        <w:ind w:left="4700"/>
        <w:spacing w:after="0" w:line="207" w:lineRule="exact"/>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rFonts w:ascii="Arial" w:cs="Arial" w:eastAsia="Arial" w:hAnsi="Arial"/>
          <w:sz w:val="18"/>
          <w:szCs w:val="18"/>
          <w:color w:val="auto"/>
        </w:rPr>
        <w:t xml:space="preserve"> Form 40-F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52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2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207010</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224155</wp:posOffset>
            </wp:positionV>
            <wp:extent cx="7246620" cy="260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815975</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19"/>
          </w:cols>
          <w:pgMar w:left="240" w:top="702"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387" w:lineRule="exact"/>
        <w:rPr>
          <w:sz w:val="20"/>
          <w:szCs w:val="20"/>
          <w:color w:val="auto"/>
        </w:rPr>
      </w:pPr>
    </w:p>
    <w:p>
      <w:pPr>
        <w:spacing w:after="0"/>
        <w:rPr>
          <w:sz w:val="20"/>
          <w:szCs w:val="20"/>
          <w:color w:val="auto"/>
        </w:rPr>
      </w:pPr>
      <w:r>
        <w:rPr>
          <w:rFonts w:ascii="Arial" w:cs="Arial" w:eastAsia="Arial" w:hAnsi="Arial"/>
          <w:sz w:val="18"/>
          <w:szCs w:val="18"/>
          <w:color w:val="auto"/>
        </w:rPr>
        <w:t>Date: December 20, 2017</w:t>
      </w:r>
    </w:p>
    <w:p>
      <w:pPr>
        <w:spacing w:after="0" w:line="225" w:lineRule="exact"/>
        <w:rPr>
          <w:sz w:val="20"/>
          <w:szCs w:val="20"/>
          <w:color w:val="auto"/>
        </w:rPr>
      </w:pPr>
    </w:p>
    <w:p>
      <w:pPr>
        <w:ind w:left="4580"/>
        <w:spacing w:after="0"/>
        <w:rPr>
          <w:sz w:val="20"/>
          <w:szCs w:val="20"/>
          <w:color w:val="auto"/>
        </w:rPr>
      </w:pPr>
      <w:r>
        <w:rPr>
          <w:rFonts w:ascii="Arial" w:cs="Arial" w:eastAsia="Arial" w:hAnsi="Arial"/>
          <w:sz w:val="18"/>
          <w:szCs w:val="18"/>
          <w:color w:val="auto"/>
        </w:rPr>
        <w:t>FOREIGN TRADE BANK OF LATIN AMERICA, INC.</w:t>
      </w:r>
    </w:p>
    <w:p>
      <w:pPr>
        <w:spacing w:after="0" w:line="23" w:lineRule="exact"/>
        <w:rPr>
          <w:sz w:val="20"/>
          <w:szCs w:val="20"/>
          <w:color w:val="auto"/>
        </w:rPr>
      </w:pPr>
    </w:p>
    <w:p>
      <w:pPr>
        <w:ind w:left="4580"/>
        <w:spacing w:after="0"/>
        <w:rPr>
          <w:sz w:val="20"/>
          <w:szCs w:val="20"/>
          <w:color w:val="auto"/>
        </w:rPr>
      </w:pPr>
      <w:r>
        <w:rPr>
          <w:rFonts w:ascii="Arial" w:cs="Arial" w:eastAsia="Arial" w:hAnsi="Arial"/>
          <w:sz w:val="18"/>
          <w:szCs w:val="18"/>
          <w:i w:val="1"/>
          <w:iCs w:val="1"/>
          <w:color w:val="auto"/>
        </w:rPr>
        <w:t>(Registrant)</w:t>
      </w:r>
    </w:p>
    <w:p>
      <w:pPr>
        <w:spacing w:after="0" w:line="200" w:lineRule="exact"/>
        <w:rPr>
          <w:sz w:val="20"/>
          <w:szCs w:val="20"/>
          <w:color w:val="auto"/>
        </w:rPr>
      </w:pPr>
    </w:p>
    <w:p>
      <w:pPr>
        <w:spacing w:after="0" w:line="227"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By: /s/ Pierre Dulin</w:t>
      </w:r>
    </w:p>
    <w:p>
      <w:pPr>
        <w:spacing w:after="0" w:line="225"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Name: Pierre Dulin</w:t>
      </w:r>
    </w:p>
    <w:p>
      <w:pPr>
        <w:spacing w:after="0" w:line="23" w:lineRule="exact"/>
        <w:rPr>
          <w:sz w:val="20"/>
          <w:szCs w:val="20"/>
          <w:color w:val="auto"/>
        </w:rPr>
      </w:pPr>
    </w:p>
    <w:p>
      <w:pPr>
        <w:ind w:left="5720"/>
        <w:spacing w:after="0"/>
        <w:tabs>
          <w:tab w:leader="none" w:pos="6220" w:val="left"/>
        </w:tabs>
        <w:rPr>
          <w:sz w:val="20"/>
          <w:szCs w:val="20"/>
          <w:color w:val="auto"/>
        </w:rPr>
      </w:pPr>
      <w:r>
        <w:rPr>
          <w:rFonts w:ascii="Arial" w:cs="Arial" w:eastAsia="Arial" w:hAnsi="Arial"/>
          <w:sz w:val="18"/>
          <w:szCs w:val="18"/>
          <w:color w:val="auto"/>
        </w:rPr>
        <w:t>Title:</w:t>
      </w:r>
      <w:r>
        <w:rPr>
          <w:sz w:val="20"/>
          <w:szCs w:val="20"/>
          <w:color w:val="auto"/>
        </w:rPr>
        <w:tab/>
      </w:r>
      <w:r>
        <w:rPr>
          <w:rFonts w:ascii="Arial" w:cs="Arial" w:eastAsia="Arial" w:hAnsi="Arial"/>
          <w:sz w:val="16"/>
          <w:szCs w:val="16"/>
          <w:color w:val="auto"/>
        </w:rPr>
        <w:t>General Manager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588645</wp:posOffset>
            </wp:positionV>
            <wp:extent cx="72466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 w:name="page3"/>
    <w:bookmarkEnd w:id="2"/>
    <w:p>
      <w:pPr>
        <w:spacing w:after="0"/>
        <w:rPr>
          <w:sz w:val="20"/>
          <w:szCs w:val="20"/>
          <w:color w:val="auto"/>
        </w:rPr>
      </w:pPr>
      <w:r>
        <w:rPr>
          <w:rFonts w:ascii="Arial" w:cs="Arial" w:eastAsia="Arial" w:hAnsi="Arial"/>
          <w:sz w:val="18"/>
          <w:szCs w:val="18"/>
          <w:b w:val="1"/>
          <w:bCs w:val="1"/>
          <w:color w:val="auto"/>
        </w:rPr>
        <w:t>FOR IMMEDIATE RELEASE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2938145</wp:posOffset>
            </wp:positionH>
            <wp:positionV relativeFrom="paragraph">
              <wp:posOffset>154940</wp:posOffset>
            </wp:positionV>
            <wp:extent cx="1346200" cy="5746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1346200" cy="57467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0"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Bladex co-leads successful syndication of a US$151.5 million 3-Year Senior Unsecured Term Loan Facility for Unifin</w:t>
      </w:r>
    </w:p>
    <w:p>
      <w:pPr>
        <w:spacing w:after="0" w:line="225" w:lineRule="exact"/>
        <w:rPr>
          <w:sz w:val="20"/>
          <w:szCs w:val="20"/>
          <w:color w:val="auto"/>
        </w:rPr>
      </w:pPr>
    </w:p>
    <w:p>
      <w:pPr>
        <w:jc w:val="both"/>
        <w:spacing w:after="0" w:line="261" w:lineRule="auto"/>
        <w:rPr>
          <w:sz w:val="20"/>
          <w:szCs w:val="20"/>
          <w:color w:val="auto"/>
        </w:rPr>
      </w:pPr>
      <w:r>
        <w:rPr>
          <w:rFonts w:ascii="Arial" w:cs="Arial" w:eastAsia="Arial" w:hAnsi="Arial"/>
          <w:sz w:val="18"/>
          <w:szCs w:val="18"/>
          <w:b w:val="1"/>
          <w:bCs w:val="1"/>
          <w:color w:val="auto"/>
        </w:rPr>
        <w:t xml:space="preserve">Panama City, Republic of Panama, December 19, 2017 - </w:t>
      </w:r>
      <w:r>
        <w:rPr>
          <w:rFonts w:ascii="Arial" w:cs="Arial" w:eastAsia="Arial" w:hAnsi="Arial"/>
          <w:sz w:val="18"/>
          <w:szCs w:val="18"/>
          <w:color w:val="auto"/>
        </w:rPr>
        <w:t>Banco Latinoamericano de Comercio Exterior, S.A. (“</w:t>
      </w:r>
      <w:r>
        <w:rPr>
          <w:rFonts w:ascii="Arial" w:cs="Arial" w:eastAsia="Arial" w:hAnsi="Arial"/>
          <w:sz w:val="18"/>
          <w:szCs w:val="18"/>
          <w:b w:val="1"/>
          <w:bCs w:val="1"/>
          <w:color w:val="auto"/>
        </w:rPr>
        <w:t>Bladex</w:t>
      </w:r>
      <w:r>
        <w:rPr>
          <w:rFonts w:ascii="Arial" w:cs="Arial" w:eastAsia="Arial" w:hAnsi="Arial"/>
          <w:sz w:val="18"/>
          <w:szCs w:val="18"/>
          <w:color w:val="auto"/>
        </w:rPr>
        <w:t>” or the “</w:t>
      </w:r>
      <w:r>
        <w:rPr>
          <w:rFonts w:ascii="Arial" w:cs="Arial" w:eastAsia="Arial" w:hAnsi="Arial"/>
          <w:sz w:val="18"/>
          <w:szCs w:val="18"/>
          <w:b w:val="1"/>
          <w:bCs w:val="1"/>
          <w:color w:val="auto"/>
        </w:rPr>
        <w:t>Bank</w:t>
      </w:r>
      <w:r>
        <w:rPr>
          <w:rFonts w:ascii="Arial" w:cs="Arial" w:eastAsia="Arial" w:hAnsi="Arial"/>
          <w:sz w:val="18"/>
          <w:szCs w:val="18"/>
          <w:color w:val="auto"/>
        </w:rPr>
        <w:t>”; NYSE: BLX)</w:t>
      </w:r>
      <w:r>
        <w:rPr>
          <w:rFonts w:ascii="Arial" w:cs="Arial" w:eastAsia="Arial" w:hAnsi="Arial"/>
          <w:sz w:val="18"/>
          <w:szCs w:val="18"/>
          <w:b w:val="1"/>
          <w:bCs w:val="1"/>
          <w:color w:val="auto"/>
        </w:rPr>
        <w:t xml:space="preserve"> </w:t>
      </w:r>
      <w:r>
        <w:rPr>
          <w:rFonts w:ascii="Arial" w:cs="Arial" w:eastAsia="Arial" w:hAnsi="Arial"/>
          <w:sz w:val="18"/>
          <w:szCs w:val="18"/>
          <w:color w:val="auto"/>
        </w:rPr>
        <w:t>announced today the successful closing of a US$151.5 million 3-year senior unsecured syndicated loan (the “</w:t>
      </w:r>
      <w:r>
        <w:rPr>
          <w:rFonts w:ascii="Arial" w:cs="Arial" w:eastAsia="Arial" w:hAnsi="Arial"/>
          <w:sz w:val="18"/>
          <w:szCs w:val="18"/>
          <w:b w:val="1"/>
          <w:bCs w:val="1"/>
          <w:color w:val="auto"/>
        </w:rPr>
        <w:t>Facility</w:t>
      </w:r>
      <w:r>
        <w:rPr>
          <w:rFonts w:ascii="Arial" w:cs="Arial" w:eastAsia="Arial" w:hAnsi="Arial"/>
          <w:sz w:val="18"/>
          <w:szCs w:val="18"/>
          <w:color w:val="auto"/>
        </w:rPr>
        <w:t>”) for Unifin Financiera, S.A.B. de C.V., SOFOM E.N.R (“</w:t>
      </w:r>
      <w:r>
        <w:rPr>
          <w:rFonts w:ascii="Arial" w:cs="Arial" w:eastAsia="Arial" w:hAnsi="Arial"/>
          <w:sz w:val="18"/>
          <w:szCs w:val="18"/>
          <w:b w:val="1"/>
          <w:bCs w:val="1"/>
          <w:color w:val="auto"/>
        </w:rPr>
        <w:t>Unifin</w:t>
      </w:r>
      <w:r>
        <w:rPr>
          <w:rFonts w:ascii="Arial" w:cs="Arial" w:eastAsia="Arial" w:hAnsi="Arial"/>
          <w:sz w:val="18"/>
          <w:szCs w:val="18"/>
          <w:color w:val="auto"/>
        </w:rPr>
        <w:t>” or the “</w:t>
      </w:r>
      <w:r>
        <w:rPr>
          <w:rFonts w:ascii="Arial" w:cs="Arial" w:eastAsia="Arial" w:hAnsi="Arial"/>
          <w:sz w:val="18"/>
          <w:szCs w:val="18"/>
          <w:b w:val="1"/>
          <w:bCs w:val="1"/>
          <w:color w:val="auto"/>
        </w:rPr>
        <w:t>Company</w:t>
      </w:r>
      <w:r>
        <w:rPr>
          <w:rFonts w:ascii="Arial" w:cs="Arial" w:eastAsia="Arial" w:hAnsi="Arial"/>
          <w:sz w:val="18"/>
          <w:szCs w:val="18"/>
          <w:color w:val="auto"/>
        </w:rPr>
        <w:t xml:space="preserve">”). </w:t>
      </w:r>
      <w:r>
        <w:rPr>
          <w:rFonts w:ascii="Arial" w:cs="Arial" w:eastAsia="Arial" w:hAnsi="Arial"/>
          <w:sz w:val="18"/>
          <w:szCs w:val="18"/>
          <w:b w:val="1"/>
          <w:bCs w:val="1"/>
          <w:color w:val="auto"/>
        </w:rPr>
        <w:t>Bladex</w:t>
      </w:r>
      <w:r>
        <w:rPr>
          <w:rFonts w:ascii="Arial" w:cs="Arial" w:eastAsia="Arial" w:hAnsi="Arial"/>
          <w:sz w:val="18"/>
          <w:szCs w:val="18"/>
          <w:color w:val="auto"/>
        </w:rPr>
        <w:t xml:space="preserve"> acted as Joint Lead Arranger and Joint Bookrunner together with Nomura Securities International, and shall act as the Administrative Agent for the Facility.</w:t>
      </w:r>
    </w:p>
    <w:p>
      <w:pPr>
        <w:spacing w:after="0" w:line="180" w:lineRule="exact"/>
        <w:rPr>
          <w:sz w:val="20"/>
          <w:szCs w:val="20"/>
          <w:color w:val="auto"/>
        </w:rPr>
      </w:pPr>
    </w:p>
    <w:p>
      <w:pPr>
        <w:jc w:val="both"/>
        <w:spacing w:after="0" w:line="261" w:lineRule="auto"/>
        <w:rPr>
          <w:sz w:val="20"/>
          <w:szCs w:val="20"/>
          <w:color w:val="auto"/>
        </w:rPr>
      </w:pPr>
      <w:r>
        <w:rPr>
          <w:rFonts w:ascii="Arial" w:cs="Arial" w:eastAsia="Arial" w:hAnsi="Arial"/>
          <w:sz w:val="18"/>
          <w:szCs w:val="18"/>
          <w:color w:val="auto"/>
        </w:rPr>
        <w:t xml:space="preserve">Listed on the Mexican Stock Exchange (“BMV”), </w:t>
      </w:r>
      <w:r>
        <w:rPr>
          <w:rFonts w:ascii="Arial" w:cs="Arial" w:eastAsia="Arial" w:hAnsi="Arial"/>
          <w:sz w:val="18"/>
          <w:szCs w:val="18"/>
          <w:b w:val="1"/>
          <w:bCs w:val="1"/>
          <w:color w:val="auto"/>
        </w:rPr>
        <w:t>Unifin</w:t>
      </w:r>
      <w:r>
        <w:rPr>
          <w:rFonts w:ascii="Arial" w:cs="Arial" w:eastAsia="Arial" w:hAnsi="Arial"/>
          <w:sz w:val="18"/>
          <w:szCs w:val="18"/>
          <w:color w:val="auto"/>
        </w:rPr>
        <w:t xml:space="preserve"> was founded in 1993 by Rodrigo Lebois and is currently the leading independent operating leasing company in Latin America. </w:t>
      </w:r>
      <w:r>
        <w:rPr>
          <w:rFonts w:ascii="Arial" w:cs="Arial" w:eastAsia="Arial" w:hAnsi="Arial"/>
          <w:sz w:val="18"/>
          <w:szCs w:val="18"/>
          <w:b w:val="1"/>
          <w:bCs w:val="1"/>
          <w:color w:val="auto"/>
        </w:rPr>
        <w:t>Unifin</w:t>
      </w:r>
      <w:r>
        <w:rPr>
          <w:rFonts w:ascii="Arial" w:cs="Arial" w:eastAsia="Arial" w:hAnsi="Arial"/>
          <w:sz w:val="18"/>
          <w:szCs w:val="18"/>
          <w:color w:val="auto"/>
        </w:rPr>
        <w:t xml:space="preserve"> operates as a non-banking financial services company specializing in three main business lines: operating leases, factoring, and lending (auto and others) for small and medium-sized enterprises (“SME’s”) in Mexico. The Company has a market capitalization of approximately US$1.2 billion and is rated BB (international scale) by both Standard &amp; Poor’s and Fitch.</w:t>
      </w:r>
    </w:p>
    <w:p>
      <w:pPr>
        <w:spacing w:after="0" w:line="180" w:lineRule="exact"/>
        <w:rPr>
          <w:sz w:val="20"/>
          <w:szCs w:val="20"/>
          <w:color w:val="auto"/>
        </w:rPr>
      </w:pPr>
    </w:p>
    <w:p>
      <w:pPr>
        <w:jc w:val="both"/>
        <w:spacing w:after="0" w:line="282" w:lineRule="auto"/>
        <w:rPr>
          <w:sz w:val="20"/>
          <w:szCs w:val="20"/>
          <w:color w:val="auto"/>
        </w:rPr>
      </w:pPr>
      <w:r>
        <w:rPr>
          <w:rFonts w:ascii="Arial" w:cs="Arial" w:eastAsia="Arial" w:hAnsi="Arial"/>
          <w:sz w:val="18"/>
          <w:szCs w:val="18"/>
          <w:color w:val="auto"/>
        </w:rPr>
        <w:t xml:space="preserve">The deal constitutes the second international syndicated facility for </w:t>
      </w:r>
      <w:r>
        <w:rPr>
          <w:rFonts w:ascii="Arial" w:cs="Arial" w:eastAsia="Arial" w:hAnsi="Arial"/>
          <w:sz w:val="18"/>
          <w:szCs w:val="18"/>
          <w:b w:val="1"/>
          <w:bCs w:val="1"/>
          <w:color w:val="auto"/>
        </w:rPr>
        <w:t>Unifin,</w:t>
      </w:r>
      <w:r>
        <w:rPr>
          <w:rFonts w:ascii="Arial" w:cs="Arial" w:eastAsia="Arial" w:hAnsi="Arial"/>
          <w:sz w:val="18"/>
          <w:szCs w:val="18"/>
          <w:color w:val="auto"/>
        </w:rPr>
        <w:t xml:space="preserve"> which were both led by </w:t>
      </w:r>
      <w:r>
        <w:rPr>
          <w:rFonts w:ascii="Arial" w:cs="Arial" w:eastAsia="Arial" w:hAnsi="Arial"/>
          <w:sz w:val="18"/>
          <w:szCs w:val="18"/>
          <w:b w:val="1"/>
          <w:bCs w:val="1"/>
          <w:color w:val="auto"/>
        </w:rPr>
        <w:t>Bladex</w:t>
      </w:r>
      <w:r>
        <w:rPr>
          <w:rFonts w:ascii="Arial" w:cs="Arial" w:eastAsia="Arial" w:hAnsi="Arial"/>
          <w:sz w:val="18"/>
          <w:szCs w:val="18"/>
          <w:color w:val="auto"/>
        </w:rPr>
        <w:t xml:space="preserve">. Proceeds from the Facility will be used to refinance </w:t>
      </w:r>
      <w:r>
        <w:rPr>
          <w:rFonts w:ascii="Arial" w:cs="Arial" w:eastAsia="Arial" w:hAnsi="Arial"/>
          <w:sz w:val="18"/>
          <w:szCs w:val="18"/>
          <w:b w:val="1"/>
          <w:bCs w:val="1"/>
          <w:color w:val="auto"/>
        </w:rPr>
        <w:t>Unifin’s</w:t>
      </w:r>
      <w:r>
        <w:rPr>
          <w:rFonts w:ascii="Arial" w:cs="Arial" w:eastAsia="Arial" w:hAnsi="Arial"/>
          <w:sz w:val="18"/>
          <w:szCs w:val="18"/>
          <w:color w:val="auto"/>
        </w:rPr>
        <w:t xml:space="preserve"> existing indebtedness and for general corporate purposes.</w:t>
      </w:r>
    </w:p>
    <w:p>
      <w:pPr>
        <w:spacing w:after="0" w:line="166"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 xml:space="preserve">The transaction attracted the interest of 13 financial institutions from Central and Latin America, the Caribbean, Europe, Asia, and the United States, of which the majority represent new banking relationships for </w:t>
      </w:r>
      <w:r>
        <w:rPr>
          <w:rFonts w:ascii="Arial" w:cs="Arial" w:eastAsia="Arial" w:hAnsi="Arial"/>
          <w:sz w:val="18"/>
          <w:szCs w:val="18"/>
          <w:b w:val="1"/>
          <w:bCs w:val="1"/>
          <w:color w:val="auto"/>
        </w:rPr>
        <w:t>Unifin</w:t>
      </w:r>
      <w:r>
        <w:rPr>
          <w:rFonts w:ascii="Arial" w:cs="Arial" w:eastAsia="Arial" w:hAnsi="Arial"/>
          <w:sz w:val="18"/>
          <w:szCs w:val="18"/>
          <w:color w:val="auto"/>
        </w:rPr>
        <w:t>. There was a 1.51x oversubscription, which allowed the Company to upsize the facility amount to US$151.5 million from its original target of US$100 million.</w:t>
      </w:r>
    </w:p>
    <w:p>
      <w:pPr>
        <w:spacing w:after="0" w:line="177" w:lineRule="exact"/>
        <w:rPr>
          <w:sz w:val="20"/>
          <w:szCs w:val="20"/>
          <w:color w:val="auto"/>
        </w:rPr>
      </w:pPr>
    </w:p>
    <w:p>
      <w:pPr>
        <w:jc w:val="both"/>
        <w:spacing w:after="0" w:line="314" w:lineRule="auto"/>
        <w:rPr>
          <w:sz w:val="20"/>
          <w:szCs w:val="20"/>
          <w:color w:val="auto"/>
        </w:rPr>
      </w:pPr>
      <w:r>
        <w:rPr>
          <w:rFonts w:ascii="Arial" w:cs="Arial" w:eastAsia="Arial" w:hAnsi="Arial"/>
          <w:sz w:val="16"/>
          <w:szCs w:val="16"/>
          <w:color w:val="auto"/>
        </w:rPr>
        <w:t xml:space="preserve">Felipe Suarez, Head of Loan Structuring and Distribution of </w:t>
      </w:r>
      <w:r>
        <w:rPr>
          <w:rFonts w:ascii="Arial" w:cs="Arial" w:eastAsia="Arial" w:hAnsi="Arial"/>
          <w:sz w:val="16"/>
          <w:szCs w:val="16"/>
          <w:b w:val="1"/>
          <w:bCs w:val="1"/>
          <w:color w:val="auto"/>
        </w:rPr>
        <w:t>Bladex</w:t>
      </w:r>
      <w:r>
        <w:rPr>
          <w:rFonts w:ascii="Arial" w:cs="Arial" w:eastAsia="Arial" w:hAnsi="Arial"/>
          <w:sz w:val="16"/>
          <w:szCs w:val="16"/>
          <w:color w:val="auto"/>
        </w:rPr>
        <w:t xml:space="preserve">, stated: "We are very pleased to have successfully executed this important transaction for </w:t>
      </w:r>
      <w:r>
        <w:rPr>
          <w:rFonts w:ascii="Arial" w:cs="Arial" w:eastAsia="Arial" w:hAnsi="Arial"/>
          <w:sz w:val="16"/>
          <w:szCs w:val="16"/>
          <w:b w:val="1"/>
          <w:bCs w:val="1"/>
          <w:color w:val="auto"/>
        </w:rPr>
        <w:t>Unifin</w:t>
      </w:r>
      <w:r>
        <w:rPr>
          <w:rFonts w:ascii="Arial" w:cs="Arial" w:eastAsia="Arial" w:hAnsi="Arial"/>
          <w:sz w:val="16"/>
          <w:szCs w:val="16"/>
          <w:color w:val="auto"/>
        </w:rPr>
        <w:t>, which has provided the Company access to new banking relationships. This Facility adds to</w:t>
      </w:r>
      <w:r>
        <w:rPr>
          <w:rFonts w:ascii="Arial" w:cs="Arial" w:eastAsia="Arial" w:hAnsi="Arial"/>
          <w:sz w:val="16"/>
          <w:szCs w:val="16"/>
          <w:b w:val="1"/>
          <w:bCs w:val="1"/>
          <w:color w:val="auto"/>
        </w:rPr>
        <w:t xml:space="preserve"> Bladex’s </w:t>
      </w:r>
      <w:r>
        <w:rPr>
          <w:rFonts w:ascii="Arial" w:cs="Arial" w:eastAsia="Arial" w:hAnsi="Arial"/>
          <w:sz w:val="16"/>
          <w:szCs w:val="16"/>
          <w:color w:val="auto"/>
        </w:rPr>
        <w:t>continuing growth in the Latin American</w:t>
      </w:r>
      <w:r>
        <w:rPr>
          <w:rFonts w:ascii="Arial" w:cs="Arial" w:eastAsia="Arial" w:hAnsi="Arial"/>
          <w:sz w:val="16"/>
          <w:szCs w:val="16"/>
          <w:b w:val="1"/>
          <w:bCs w:val="1"/>
          <w:color w:val="auto"/>
        </w:rPr>
        <w:t xml:space="preserve"> </w:t>
      </w:r>
      <w:r>
        <w:rPr>
          <w:rFonts w:ascii="Arial" w:cs="Arial" w:eastAsia="Arial" w:hAnsi="Arial"/>
          <w:sz w:val="16"/>
          <w:szCs w:val="16"/>
          <w:color w:val="auto"/>
        </w:rPr>
        <w:t>syndicated loan space, highlighting its distribution capabilities and its access to a wide network of regional and international financial institutions.”</w:t>
      </w:r>
    </w:p>
    <w:p>
      <w:pPr>
        <w:spacing w:after="0" w:line="142" w:lineRule="exact"/>
        <w:rPr>
          <w:sz w:val="20"/>
          <w:szCs w:val="20"/>
          <w:color w:val="auto"/>
        </w:rPr>
      </w:pPr>
    </w:p>
    <w:p>
      <w:pPr>
        <w:jc w:val="both"/>
        <w:spacing w:after="0" w:line="261" w:lineRule="auto"/>
        <w:rPr>
          <w:sz w:val="20"/>
          <w:szCs w:val="20"/>
          <w:color w:val="auto"/>
        </w:rPr>
      </w:pPr>
      <w:r>
        <w:rPr>
          <w:rFonts w:ascii="Arial" w:cs="Arial" w:eastAsia="Arial" w:hAnsi="Arial"/>
          <w:sz w:val="18"/>
          <w:szCs w:val="18"/>
          <w:b w:val="1"/>
          <w:bCs w:val="1"/>
          <w:color w:val="auto"/>
        </w:rPr>
        <w:t xml:space="preserve">Bladex, </w:t>
      </w:r>
      <w:r>
        <w:rPr>
          <w:rFonts w:ascii="Arial" w:cs="Arial" w:eastAsia="Arial" w:hAnsi="Arial"/>
          <w:sz w:val="18"/>
          <w:szCs w:val="18"/>
          <w:color w:val="auto"/>
        </w:rPr>
        <w:t>a multinational bank originally established by the central banks of Latin-American and Caribbean countries, initiated operations in 1979 to promote</w:t>
      </w:r>
      <w:r>
        <w:rPr>
          <w:rFonts w:ascii="Arial" w:cs="Arial" w:eastAsia="Arial" w:hAnsi="Arial"/>
          <w:sz w:val="18"/>
          <w:szCs w:val="18"/>
          <w:b w:val="1"/>
          <w:bCs w:val="1"/>
          <w:color w:val="auto"/>
        </w:rPr>
        <w:t xml:space="preserve"> </w:t>
      </w:r>
      <w:r>
        <w:rPr>
          <w:rFonts w:ascii="Arial" w:cs="Arial" w:eastAsia="Arial" w:hAnsi="Arial"/>
          <w:sz w:val="18"/>
          <w:szCs w:val="18"/>
          <w:color w:val="auto"/>
        </w:rPr>
        <w:t>foreign trade finance and economic integration in the Region. The Bank, headquartered in Panama, also counts with offices in Argentina, Brazil, Colombia, Mexico, Peru, and the United States of America, supporting the regional expansion and servicing its customer base, which includes financial institutions and corporations.</w:t>
      </w:r>
    </w:p>
    <w:p>
      <w:pPr>
        <w:spacing w:after="0" w:line="180" w:lineRule="exact"/>
        <w:rPr>
          <w:sz w:val="20"/>
          <w:szCs w:val="20"/>
          <w:color w:val="auto"/>
        </w:rPr>
      </w:pPr>
    </w:p>
    <w:p>
      <w:pPr>
        <w:jc w:val="both"/>
        <w:spacing w:after="0" w:line="266" w:lineRule="auto"/>
        <w:rPr>
          <w:sz w:val="20"/>
          <w:szCs w:val="20"/>
          <w:color w:val="auto"/>
        </w:rPr>
      </w:pPr>
      <w:r>
        <w:rPr>
          <w:rFonts w:ascii="Arial" w:cs="Arial" w:eastAsia="Arial" w:hAnsi="Arial"/>
          <w:sz w:val="18"/>
          <w:szCs w:val="18"/>
          <w:b w:val="1"/>
          <w:bCs w:val="1"/>
          <w:color w:val="auto"/>
        </w:rPr>
        <w:t xml:space="preserve">Bladex </w:t>
      </w:r>
      <w:r>
        <w:rPr>
          <w:rFonts w:ascii="Arial" w:cs="Arial" w:eastAsia="Arial" w:hAnsi="Arial"/>
          <w:sz w:val="18"/>
          <w:szCs w:val="18"/>
          <w:color w:val="auto"/>
        </w:rPr>
        <w:t>is listed on the NYSE in the United States of America (NYSE: BLX), since 1992, and its shareholders include: central banks and state-owned banks</w:t>
      </w:r>
      <w:r>
        <w:rPr>
          <w:rFonts w:ascii="Arial" w:cs="Arial" w:eastAsia="Arial" w:hAnsi="Arial"/>
          <w:sz w:val="18"/>
          <w:szCs w:val="18"/>
          <w:b w:val="1"/>
          <w:bCs w:val="1"/>
          <w:color w:val="auto"/>
        </w:rPr>
        <w:t xml:space="preserve"> </w:t>
      </w:r>
      <w:r>
        <w:rPr>
          <w:rFonts w:ascii="Arial" w:cs="Arial" w:eastAsia="Arial" w:hAnsi="Arial"/>
          <w:sz w:val="18"/>
          <w:szCs w:val="18"/>
          <w:color w:val="auto"/>
        </w:rPr>
        <w:t>and entities representing 23 Latin American countries; commercial banks and financial institutions; and institutional and retail investors through its public listing.</w:t>
      </w:r>
    </w:p>
    <w:p>
      <w:pPr>
        <w:spacing w:after="0" w:line="180" w:lineRule="exact"/>
        <w:rPr>
          <w:sz w:val="20"/>
          <w:szCs w:val="20"/>
          <w:color w:val="auto"/>
        </w:rPr>
      </w:pPr>
    </w:p>
    <w:p>
      <w:pPr>
        <w:spacing w:after="0"/>
        <w:rPr>
          <w:sz w:val="20"/>
          <w:szCs w:val="20"/>
          <w:color w:val="auto"/>
        </w:rPr>
      </w:pPr>
      <w:r>
        <w:rPr>
          <w:rFonts w:ascii="Arial" w:cs="Arial" w:eastAsia="Arial" w:hAnsi="Arial"/>
          <w:sz w:val="18"/>
          <w:szCs w:val="18"/>
          <w:color w:val="auto"/>
        </w:rPr>
        <w:t>For further information, please contact: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149860</wp:posOffset>
            </wp:positionV>
            <wp:extent cx="7250430" cy="14274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250430" cy="1427480"/>
                    </a:xfrm>
                    <a:prstGeom prst="rect">
                      <a:avLst/>
                    </a:prstGeom>
                    <a:noFill/>
                  </pic:spPr>
                </pic:pic>
              </a:graphicData>
            </a:graphic>
          </wp:anchor>
        </w:drawing>
      </w:r>
    </w:p>
    <w:p>
      <w:pPr>
        <w:spacing w:after="0" w:line="242"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Bladex:</w:t>
      </w:r>
    </w:p>
    <w:p>
      <w:pPr>
        <w:spacing w:after="0" w:line="27" w:lineRule="exact"/>
        <w:rPr>
          <w:sz w:val="20"/>
          <w:szCs w:val="20"/>
          <w:color w:val="auto"/>
        </w:rPr>
      </w:pPr>
    </w:p>
    <w:p>
      <w:pPr>
        <w:ind w:left="140"/>
        <w:spacing w:after="0"/>
        <w:rPr>
          <w:sz w:val="20"/>
          <w:szCs w:val="20"/>
          <w:color w:val="auto"/>
        </w:rPr>
      </w:pPr>
      <w:r>
        <w:rPr>
          <w:rFonts w:ascii="Arial" w:cs="Arial" w:eastAsia="Arial" w:hAnsi="Arial"/>
          <w:sz w:val="18"/>
          <w:szCs w:val="18"/>
          <w:color w:val="auto"/>
        </w:rPr>
        <w:t>Irma Garrido Arango - Senior Vicepresident, Corporate Development and Investor Relations</w:t>
      </w:r>
    </w:p>
    <w:p>
      <w:pPr>
        <w:spacing w:after="0" w:line="9" w:lineRule="exact"/>
        <w:rPr>
          <w:sz w:val="20"/>
          <w:szCs w:val="20"/>
          <w:color w:val="auto"/>
        </w:rPr>
      </w:pPr>
    </w:p>
    <w:p>
      <w:pPr>
        <w:ind w:left="140"/>
        <w:spacing w:after="0"/>
        <w:rPr>
          <w:sz w:val="20"/>
          <w:szCs w:val="20"/>
          <w:color w:val="auto"/>
        </w:rPr>
      </w:pPr>
      <w:r>
        <w:rPr>
          <w:rFonts w:ascii="Arial" w:cs="Arial" w:eastAsia="Arial" w:hAnsi="Arial"/>
          <w:sz w:val="18"/>
          <w:szCs w:val="18"/>
          <w:color w:val="auto"/>
        </w:rPr>
        <w:t>E-mail address: igarrido@bladex.com, Tel.: (+507) 210-8559</w:t>
      </w:r>
    </w:p>
    <w:p>
      <w:pPr>
        <w:spacing w:after="0" w:line="9" w:lineRule="exact"/>
        <w:rPr>
          <w:sz w:val="20"/>
          <w:szCs w:val="20"/>
          <w:color w:val="auto"/>
        </w:rPr>
      </w:pPr>
    </w:p>
    <w:p>
      <w:pPr>
        <w:ind w:left="140"/>
        <w:spacing w:after="0"/>
        <w:rPr>
          <w:sz w:val="20"/>
          <w:szCs w:val="20"/>
          <w:color w:val="auto"/>
        </w:rPr>
      </w:pPr>
      <w:r>
        <w:rPr>
          <w:rFonts w:ascii="Arial" w:cs="Arial" w:eastAsia="Arial" w:hAnsi="Arial"/>
          <w:sz w:val="18"/>
          <w:szCs w:val="18"/>
          <w:color w:val="auto"/>
        </w:rPr>
        <w:t>Head Office Address: Torre V, Business Park, Ave. La Rotonda, Urb. Costa del Este,</w:t>
      </w:r>
    </w:p>
    <w:p>
      <w:pPr>
        <w:spacing w:after="0" w:line="9" w:lineRule="exact"/>
        <w:rPr>
          <w:sz w:val="20"/>
          <w:szCs w:val="20"/>
          <w:color w:val="auto"/>
        </w:rPr>
      </w:pPr>
    </w:p>
    <w:p>
      <w:pPr>
        <w:ind w:left="140"/>
        <w:spacing w:after="0"/>
        <w:rPr>
          <w:sz w:val="20"/>
          <w:szCs w:val="20"/>
          <w:color w:val="auto"/>
        </w:rPr>
      </w:pPr>
      <w:r>
        <w:rPr>
          <w:rFonts w:ascii="Arial" w:cs="Arial" w:eastAsia="Arial" w:hAnsi="Arial"/>
          <w:sz w:val="18"/>
          <w:szCs w:val="18"/>
          <w:color w:val="auto"/>
        </w:rPr>
        <w:t>Panamá, Republic of Panama</w:t>
      </w:r>
    </w:p>
    <w:p>
      <w:pPr>
        <w:spacing w:after="0" w:line="207" w:lineRule="exact"/>
        <w:rPr>
          <w:sz w:val="20"/>
          <w:szCs w:val="20"/>
          <w:color w:val="auto"/>
        </w:rPr>
      </w:pPr>
    </w:p>
    <w:p>
      <w:pPr>
        <w:ind w:left="140"/>
        <w:spacing w:after="0"/>
        <w:rPr>
          <w:sz w:val="20"/>
          <w:szCs w:val="20"/>
          <w:color w:val="auto"/>
        </w:rPr>
      </w:pPr>
      <w:r>
        <w:rPr>
          <w:rFonts w:ascii="Arial" w:cs="Arial" w:eastAsia="Arial" w:hAnsi="Arial"/>
          <w:sz w:val="18"/>
          <w:szCs w:val="18"/>
          <w:b w:val="1"/>
          <w:bCs w:val="1"/>
          <w:color w:val="auto"/>
        </w:rPr>
        <w:t>Unifin:</w:t>
      </w:r>
    </w:p>
    <w:p>
      <w:pPr>
        <w:spacing w:after="0" w:line="27" w:lineRule="exact"/>
        <w:rPr>
          <w:sz w:val="20"/>
          <w:szCs w:val="20"/>
          <w:color w:val="auto"/>
        </w:rPr>
      </w:pPr>
    </w:p>
    <w:p>
      <w:pPr>
        <w:ind w:left="140" w:right="4180"/>
        <w:spacing w:after="0" w:line="255" w:lineRule="auto"/>
        <w:rPr>
          <w:sz w:val="20"/>
          <w:szCs w:val="20"/>
          <w:color w:val="auto"/>
        </w:rPr>
      </w:pPr>
      <w:r>
        <w:rPr>
          <w:rFonts w:ascii="Arial" w:cs="Arial" w:eastAsia="Arial" w:hAnsi="Arial"/>
          <w:sz w:val="18"/>
          <w:szCs w:val="18"/>
          <w:color w:val="auto"/>
        </w:rPr>
        <w:t>David Pernas – Investor Relations Officer and Corporate Finance E-mail address: david.pernas@unifin.com.mx; unifin.ri@unifin.com.mx, Tel.: +52 (55) 4162.8270 www.unifin.com.mx</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464185</wp:posOffset>
            </wp:positionV>
            <wp:extent cx="72466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931"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jpeg"/><Relationship Id="rId15" Type="http://schemas.openxmlformats.org/officeDocument/2006/relationships/image" Target="media/image8.png"/><Relationship Id="rId16" Type="http://schemas.openxmlformats.org/officeDocument/2006/relationships/image" Target="media/image9.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2020-01-19T02:17:53Z</dcterms:created>
  <dcterms:modified xsi:type="dcterms:W3CDTF">2020-01-19T02:17:53Z</dcterms:modified>
</cp:coreProperties>
</file>